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Анкета контроля осознанных сновидений</w:t>
      </w:r>
    </w:p>
    <w:p>
      <w:pPr>
        <w:jc w:val="center"/>
      </w:pPr>
      <w:r>
        <w:rPr>
          <w:b/>
          <w:sz w:val="22"/>
        </w:rPr>
        <w:t>Рабочая русская версия 38-пунктовой LDC-G</w:t>
      </w:r>
    </w:p>
    <w:p>
      <w:pPr>
        <w:pStyle w:val="SmallNote"/>
        <w:jc w:val="center"/>
      </w:pPr>
      <w:r>
        <w:rPr>
          <w:sz w:val="20"/>
        </w:rPr>
        <w:t xml:space="preserve">Предшественник 36-пунктового </w:t>
      </w:r>
      <w:hyperlink r:id="rId10">
        <w:r>
          <w:rPr>
            <w:color w:val="0563C1"/>
            <w:u w:val="single"/>
            <w:b/>
          </w:rPr>
          <w:t>Lucid Dream Control Questionnaire (LDCQ)</w:t>
        </w:r>
      </w:hyperlink>
      <w:r>
        <w:rPr>
          <w:sz w:val="20"/>
        </w:rPr>
        <w:t xml:space="preserve"> — Peters, Erlacher &amp; Bonamino (2026)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2F2F2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rial" w:hAnsi="Arial" w:eastAsia="Arial"/>
                <w:b/>
                <w:sz w:val="20"/>
              </w:rPr>
              <w:t>Инструкция</w:t>
            </w:r>
          </w:p>
          <w:p>
            <w:pPr>
              <w:spacing w:after="80"/>
            </w:pPr>
            <w:r>
              <w:rPr>
                <w:rFonts w:ascii="Arial" w:hAnsi="Arial" w:eastAsia="Arial"/>
                <w:sz w:val="20"/>
              </w:rPr>
              <w:t>Оцените, насколько успешно вам обычно удаётся выполнять каждое действие во время осознанного сновидения.</w:t>
            </w:r>
          </w:p>
          <w:p>
            <w:pPr>
              <w:spacing w:after="80"/>
            </w:pPr>
            <w:r>
              <w:rPr>
                <w:rFonts w:ascii="Arial" w:hAnsi="Arial" w:eastAsia="Arial"/>
                <w:sz w:val="20"/>
              </w:rPr>
              <w:t>Шкала: 0 — никогда; 1 — редко; 2 — иногда; 3 — часто; 4 — всегда; N/A — не пробовал / не могу оценить.</w:t>
            </w:r>
          </w:p>
          <w:p>
            <w:r>
              <w:rPr>
                <w:rFonts w:ascii="Arial" w:hAnsi="Arial" w:eastAsia="Arial"/>
                <w:sz w:val="20"/>
              </w:rPr>
              <w:t>Если выбран N/A, этот пункт не учитывается при расчёте среднего балла.</w:t>
            </w:r>
          </w:p>
        </w:tc>
      </w:tr>
    </w:tbl>
    <w:p/>
    <w:p>
      <w:pPr>
        <w:pStyle w:val="Heading1"/>
        <w:keepNext/>
      </w:pPr>
      <w:r>
        <w:t>A. Когнитивный контроль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7086"/>
        <w:gridCol w:w="2211"/>
      </w:tblGrid>
      <w:tr>
        <w:trPr>
          <w:tblHeader w:val="true"/>
          <w:cantSplit/>
        </w:trPr>
        <w:tc>
          <w:tcPr>
            <w:tcW w:type="dxa" w:w="680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type="dxa" w:w="7086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Утверждение</w:t>
            </w:r>
          </w:p>
        </w:tc>
        <w:tc>
          <w:tcPr>
            <w:tcW w:type="dxa" w:w="2211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Балл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1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сохранять осознание того, что я сплю, не просыпаясь.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2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вспомнить во сне намерение или задачу, поставленную до засыпания.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3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продлить осознанное сновидение, когда сон начинает исчезать.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4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удерживать внимание на выбранной цели.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5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сохранять осознанность до выполнения задуманного действия.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6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управлять происходящим без существенных отвлечений и помех.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7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преодолевать проблемы и препятствия, возникающие во время ОС.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</w:tbl>
    <w:p>
      <w:pPr>
        <w:spacing w:before="100" w:after="140"/>
      </w:pPr>
      <w:r>
        <w:rPr>
          <w:b/>
          <w:sz w:val="19"/>
        </w:rPr>
        <w:t>Средний балл: сумма баллов / число отвеченных пунктов = __________</w:t>
      </w:r>
    </w:p>
    <w:p>
      <w:pPr>
        <w:pStyle w:val="Heading1"/>
        <w:keepNext/>
      </w:pPr>
      <w:r>
        <w:t>B. Управление физикой сна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7086"/>
        <w:gridCol w:w="2211"/>
      </w:tblGrid>
      <w:tr>
        <w:trPr>
          <w:tblHeader w:val="true"/>
          <w:cantSplit/>
        </w:trPr>
        <w:tc>
          <w:tcPr>
            <w:tcW w:type="dxa" w:w="680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type="dxa" w:w="7086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Утверждение</w:t>
            </w:r>
          </w:p>
        </w:tc>
        <w:tc>
          <w:tcPr>
            <w:tcW w:type="dxa" w:w="2211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Балл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8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ускорять или замедлять течение времени.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9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изменять действие гравитации.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10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воспринимать себя со стороны, от третьего лица.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11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проходить сквозь стены или другие твёрдые объекты.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12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изменять физические свойства объектов или окружающей среды.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</w:tbl>
    <w:p>
      <w:pPr>
        <w:spacing w:before="100" w:after="140"/>
      </w:pPr>
      <w:r>
        <w:rPr>
          <w:b/>
          <w:sz w:val="19"/>
        </w:rPr>
        <w:t>Средний балл: сумма баллов / число отвеченных пунктов = __________</w:t>
      </w:r>
    </w:p>
    <w:p>
      <w:pPr>
        <w:pStyle w:val="Heading1"/>
        <w:keepNext/>
      </w:pPr>
      <w:r>
        <w:t>C. Управление собственным телом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7086"/>
        <w:gridCol w:w="2211"/>
      </w:tblGrid>
      <w:tr>
        <w:trPr>
          <w:tblHeader w:val="true"/>
          <w:cantSplit/>
        </w:trPr>
        <w:tc>
          <w:tcPr>
            <w:tcW w:type="dxa" w:w="680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type="dxa" w:w="7086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Утверждение</w:t>
            </w:r>
          </w:p>
        </w:tc>
        <w:tc>
          <w:tcPr>
            <w:tcW w:type="dxa" w:w="2211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Балл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13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изменять форму, размер или возможности своего тела.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14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превращаться в другое существо или объект.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15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намеренно изменять зрительное восприятие.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16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намеренно изменять слуховое восприятие.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17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намеренно изменять обонятельное восприятие.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</w:tbl>
    <w:p>
      <w:pPr>
        <w:spacing w:before="100" w:after="140"/>
      </w:pPr>
      <w:r>
        <w:rPr>
          <w:b/>
          <w:sz w:val="19"/>
        </w:rPr>
        <w:t>Средний балл: сумма баллов / число отвеченных пунктов = __________</w:t>
      </w:r>
    </w:p>
    <w:p>
      <w:pPr>
        <w:pStyle w:val="Heading1"/>
        <w:keepNext/>
      </w:pPr>
      <w:r>
        <w:t>D. Управление движением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7086"/>
        <w:gridCol w:w="2211"/>
      </w:tblGrid>
      <w:tr>
        <w:trPr>
          <w:tblHeader w:val="true"/>
          <w:cantSplit/>
        </w:trPr>
        <w:tc>
          <w:tcPr>
            <w:tcW w:type="dxa" w:w="680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type="dxa" w:w="7086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Утверждение</w:t>
            </w:r>
          </w:p>
        </w:tc>
        <w:tc>
          <w:tcPr>
            <w:tcW w:type="dxa" w:w="2211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Балл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18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точно выполнять мелкие и сложные движения.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19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легко выполнять спортивные или физически сложные движения.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20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произвольно сохранять равновесие.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21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взлетать и управлять своим полётом.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22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парить или зависать в воздухе.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23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координировать свои действия с персонажами сна.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</w:tbl>
    <w:p>
      <w:pPr>
        <w:spacing w:before="100" w:after="140"/>
      </w:pPr>
      <w:r>
        <w:rPr>
          <w:b/>
          <w:sz w:val="19"/>
        </w:rPr>
        <w:t>Средний балл: сумма баллов / число отвеченных пунктов = __________</w:t>
      </w:r>
    </w:p>
    <w:p>
      <w:pPr>
        <w:pStyle w:val="Heading1"/>
        <w:keepNext/>
      </w:pPr>
      <w:r>
        <w:t>E. Управление персонажами сна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7086"/>
        <w:gridCol w:w="2211"/>
      </w:tblGrid>
      <w:tr>
        <w:trPr>
          <w:tblHeader w:val="true"/>
          <w:cantSplit/>
        </w:trPr>
        <w:tc>
          <w:tcPr>
            <w:tcW w:type="dxa" w:w="680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type="dxa" w:w="7086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Утверждение</w:t>
            </w:r>
          </w:p>
        </w:tc>
        <w:tc>
          <w:tcPr>
            <w:tcW w:type="dxa" w:w="2211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Балл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24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вызвать нужного персонажа или заставить его исчезнуть.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25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изменить внешность персонажа сна.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26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изменить поведение персонажа сна.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27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вести обычный разговор с персонажем сна.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28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вести содержательный или глубокий разговор с персонажем сна.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</w:tbl>
    <w:p>
      <w:pPr>
        <w:spacing w:before="100" w:after="140"/>
      </w:pPr>
      <w:r>
        <w:rPr>
          <w:b/>
          <w:sz w:val="19"/>
        </w:rPr>
        <w:t>Средний балл: сумма баллов / число отвеченных пунктов = __________</w:t>
      </w:r>
    </w:p>
    <w:p>
      <w:r>
        <w:br w:type="page"/>
      </w:r>
    </w:p>
    <w:p>
      <w:pPr>
        <w:pStyle w:val="Heading1"/>
        <w:keepNext/>
      </w:pPr>
      <w:r>
        <w:t>F. Управление окружающей средой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7086"/>
        <w:gridCol w:w="2211"/>
      </w:tblGrid>
      <w:tr>
        <w:trPr>
          <w:tblHeader w:val="true"/>
          <w:cantSplit/>
        </w:trPr>
        <w:tc>
          <w:tcPr>
            <w:tcW w:type="dxa" w:w="680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type="dxa" w:w="7086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Утверждение</w:t>
            </w:r>
          </w:p>
        </w:tc>
        <w:tc>
          <w:tcPr>
            <w:tcW w:type="dxa" w:w="2211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Балл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29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переместиться в заранее выбранное место.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30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переместиться в случайное новое место.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31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изменять погоду или климат во сне.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32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создавать или удалять предметы.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33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изменять освещение, яркость или цвет окружающей среды.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</w:tbl>
    <w:p>
      <w:pPr>
        <w:spacing w:before="100" w:after="140"/>
      </w:pPr>
      <w:r>
        <w:rPr>
          <w:b/>
          <w:sz w:val="19"/>
        </w:rPr>
        <w:t>Средний балл: сумма баллов / число отвеченных пунктов = __________</w:t>
      </w:r>
    </w:p>
    <w:p>
      <w:pPr>
        <w:pStyle w:val="Heading1"/>
        <w:keepNext/>
      </w:pPr>
      <w:r>
        <w:t>G. Эмоциональный контроль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7086"/>
        <w:gridCol w:w="2211"/>
      </w:tblGrid>
      <w:tr>
        <w:trPr>
          <w:tblHeader w:val="true"/>
          <w:cantSplit/>
        </w:trPr>
        <w:tc>
          <w:tcPr>
            <w:tcW w:type="dxa" w:w="680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type="dxa" w:w="7086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Утверждение</w:t>
            </w:r>
          </w:p>
        </w:tc>
        <w:tc>
          <w:tcPr>
            <w:tcW w:type="dxa" w:w="2211"/>
            <w:shd w:fill="D9E2F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Балл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34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сохранять спокойствие в пугающей, стрессовой или очень возбуждающей ситуации.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35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устранить источник страха, стресса или другой нежелательной эмоции.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36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намеренно изменить своё эмоциональное состояние.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37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не потерять осознанное сновидение из-за сильных эмоций.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38</w:t>
            </w:r>
          </w:p>
        </w:tc>
        <w:tc>
          <w:tcPr>
            <w:tcW w:type="dxa" w:w="708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 w:eastAsia="Arial"/>
                <w:sz w:val="18"/>
              </w:rPr>
              <w:t>Мне удаётся сохранять контроль над происходящим при сильных эмоциях.</w:t>
            </w:r>
          </w:p>
        </w:tc>
        <w:tc>
          <w:tcPr>
            <w:tcW w:type="dxa" w:w="221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 w:eastAsia="Arial"/>
                <w:sz w:val="18"/>
              </w:rPr>
              <w:t>0   1   2   3   4</w:t>
              <w:br/>
              <w:t>N/A</w:t>
            </w:r>
          </w:p>
        </w:tc>
      </w:tr>
    </w:tbl>
    <w:p>
      <w:pPr>
        <w:spacing w:before="100" w:after="140"/>
      </w:pPr>
      <w:r>
        <w:rPr>
          <w:b/>
          <w:sz w:val="19"/>
        </w:rPr>
        <w:t>Средний балл: сумма баллов / число отвеченных пунктов = __________</w:t>
      </w:r>
    </w:p>
    <w:p>
      <w:pPr>
        <w:pStyle w:val="Heading1"/>
      </w:pPr>
      <w:r>
        <w:t>Результаты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  <w:gridCol w:w="3118"/>
      </w:tblGrid>
      <w:tr>
        <w:trPr>
          <w:tblHeader w:val="true"/>
        </w:trPr>
        <w:tc>
          <w:tcPr>
            <w:tcW w:type="dxa" w:w="4989"/>
            <w:shd w:fill="D9E2F3"/>
          </w:tcPr>
          <w:p>
            <w:pPr>
              <w:jc w:val="center"/>
            </w:pPr>
            <w:r>
              <w:rPr>
                <w:b/>
              </w:rPr>
              <w:t>Шкала</w:t>
            </w:r>
          </w:p>
        </w:tc>
        <w:tc>
          <w:tcPr>
            <w:tcW w:type="dxa" w:w="4989"/>
            <w:shd w:fill="D9E2F3"/>
          </w:tcPr>
          <w:p>
            <w:pPr>
              <w:jc w:val="center"/>
            </w:pPr>
            <w:r>
              <w:rPr>
                <w:b/>
              </w:rPr>
              <w:t>Средний балл 0–4</w:t>
            </w:r>
          </w:p>
        </w:tc>
      </w:tr>
      <w:tr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A. Когнитивный контроль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</w:p>
        </w:tc>
      </w:tr>
      <w:tr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B. Физика сна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</w:p>
        </w:tc>
      </w:tr>
      <w:tr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C. Собственное тело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</w:p>
        </w:tc>
      </w:tr>
      <w:tr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D. Движение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</w:p>
        </w:tc>
      </w:tr>
      <w:tr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E. Персонажи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</w:p>
        </w:tc>
      </w:tr>
      <w:tr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F. Окружающая среда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</w:p>
        </w:tc>
      </w:tr>
      <w:tr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G. Эмоции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</w:p>
        </w:tc>
      </w:tr>
      <w:tr>
        <w:tc>
          <w:tcPr>
            <w:tcW w:type="dxa" w:w="6803"/>
            <w:shd w:fill="E2F0D9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Общий контроль сна</w:t>
            </w:r>
          </w:p>
        </w:tc>
        <w:tc>
          <w:tcPr>
            <w:tcW w:type="dxa" w:w="3118"/>
            <w:shd w:fill="E2F0D9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</w:r>
          </w:p>
        </w:tc>
      </w:tr>
    </w:tbl>
    <w:p>
      <w:pPr>
        <w:pStyle w:val="Heading2"/>
      </w:pPr>
      <w:r>
        <w:t>Общий показатель</w:t>
      </w:r>
    </w:p>
    <w:p>
      <w:r>
        <w:rPr>
          <w:b/>
        </w:rPr>
        <w:t>Общий LDC = сумма всех полученных баллов / количество отвеченных пунктов.</w:t>
      </w:r>
    </w:p>
    <w:p>
      <w:r>
        <w:t>Результат находится в диапазоне 0–4 даже в случаях, когда часть пунктов отмечена N/A.</w:t>
      </w:r>
    </w:p>
    <w:p>
      <w:r>
        <w:br w:type="page"/>
      </w:r>
    </w:p>
    <w:p>
      <w:pPr>
        <w:pStyle w:val="Heading2"/>
      </w:pPr>
      <w:r>
        <w:t>Рабочая интерпретация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shd w:fill="D9E2F3"/>
          </w:tcPr>
          <w:p>
            <w:pPr>
              <w:jc w:val="center"/>
            </w:pPr>
            <w:r>
              <w:rPr>
                <w:b/>
              </w:rPr>
              <w:t>Средний балл</w:t>
            </w:r>
          </w:p>
        </w:tc>
        <w:tc>
          <w:tcPr>
            <w:tcW w:type="dxa" w:w="4989"/>
            <w:shd w:fill="D9E2F3"/>
          </w:tcPr>
          <w:p>
            <w:pPr>
              <w:jc w:val="center"/>
            </w:pPr>
            <w:r>
              <w:rPr>
                <w:b/>
              </w:rPr>
              <w:t>Уровень</w:t>
            </w:r>
          </w:p>
        </w:tc>
      </w:tr>
      <w:tr>
        <w:tc>
          <w:tcPr>
            <w:tcW w:type="dxa" w:w="4989"/>
          </w:tcPr>
          <w:p>
            <w:pPr>
              <w:jc w:val="center"/>
            </w:pPr>
            <w:r>
              <w:t>0,00–0,79</w:t>
            </w:r>
          </w:p>
        </w:tc>
        <w:tc>
          <w:tcPr>
            <w:tcW w:type="dxa" w:w="4989"/>
          </w:tcPr>
          <w:p>
            <w:r>
              <w:t>очень низкий контроль</w:t>
            </w:r>
          </w:p>
        </w:tc>
      </w:tr>
      <w:tr>
        <w:tc>
          <w:tcPr>
            <w:tcW w:type="dxa" w:w="4989"/>
          </w:tcPr>
          <w:p>
            <w:pPr>
              <w:jc w:val="center"/>
            </w:pPr>
            <w:r>
              <w:t>0,80–1,59</w:t>
            </w:r>
          </w:p>
        </w:tc>
        <w:tc>
          <w:tcPr>
            <w:tcW w:type="dxa" w:w="4989"/>
          </w:tcPr>
          <w:p>
            <w:r>
              <w:t>низкий</w:t>
            </w:r>
          </w:p>
        </w:tc>
      </w:tr>
      <w:tr>
        <w:tc>
          <w:tcPr>
            <w:tcW w:type="dxa" w:w="4989"/>
          </w:tcPr>
          <w:p>
            <w:pPr>
              <w:jc w:val="center"/>
            </w:pPr>
            <w:r>
              <w:t>1,60–2,39</w:t>
            </w:r>
          </w:p>
        </w:tc>
        <w:tc>
          <w:tcPr>
            <w:tcW w:type="dxa" w:w="4989"/>
          </w:tcPr>
          <w:p>
            <w:r>
              <w:t>средний</w:t>
            </w:r>
          </w:p>
        </w:tc>
      </w:tr>
      <w:tr>
        <w:tc>
          <w:tcPr>
            <w:tcW w:type="dxa" w:w="4989"/>
          </w:tcPr>
          <w:p>
            <w:pPr>
              <w:jc w:val="center"/>
            </w:pPr>
            <w:r>
              <w:t>2,40–3,19</w:t>
            </w:r>
          </w:p>
        </w:tc>
        <w:tc>
          <w:tcPr>
            <w:tcW w:type="dxa" w:w="4989"/>
          </w:tcPr>
          <w:p>
            <w:r>
              <w:t>высокий</w:t>
            </w:r>
          </w:p>
        </w:tc>
      </w:tr>
      <w:tr>
        <w:tc>
          <w:tcPr>
            <w:tcW w:type="dxa" w:w="4989"/>
          </w:tcPr>
          <w:p>
            <w:pPr>
              <w:jc w:val="center"/>
            </w:pPr>
            <w:r>
              <w:t>3,20–4,00</w:t>
            </w:r>
          </w:p>
        </w:tc>
        <w:tc>
          <w:tcPr>
            <w:tcW w:type="dxa" w:w="4989"/>
          </w:tcPr>
          <w:p>
            <w:r>
              <w:t>очень высокий</w:t>
            </w:r>
          </w:p>
        </w:tc>
      </w:tr>
    </w:tbl>
    <w:p>
      <w:pPr>
        <w:pStyle w:val="SmallNote"/>
      </w:pPr>
      <w:r>
        <w:t>Примечание: эти границы являются рабочими, а не установленными авторами LDCQ клиническими или психометрическими нормативами. Для исследований предпочтительно анализировать семь отдельных шкал и сравнивать показатели во времени или между группами.</w:t>
      </w:r>
    </w:p>
    <w:p>
      <w:pPr>
        <w:pStyle w:val="Heading2"/>
      </w:pPr>
      <w:r>
        <w:t>Профиль контроля</w:t>
      </w:r>
    </w:p>
    <w:p>
      <w:r>
        <w:t>Наиболее информативно рассматривать семь отдельных показателей, а не только общий балл. Профиль позволяет увидеть сильные и слабые компоненты контроля осознанного сновидения и отслеживать их изменение после тренировки.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FF2CC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b/>
                <w:color w:val="2F5496"/>
                <w:sz w:val="22"/>
              </w:rPr>
              <w:t>Статус версии</w:t>
            </w:r>
          </w:p>
          <w:p/>
          <w:p>
            <w:pPr>
              <w:spacing w:after="80"/>
            </w:pPr>
            <w:r>
              <w:rPr>
                <w:sz w:val="18"/>
              </w:rPr>
              <w:t xml:space="preserve">Это рабочий русский перевод опубликованной 38-пунктовой LDC-G, предложенной Clarita Bonamino и Emma Peters как инструмента оценки общего контроля осознанных сновидений. </w:t>
            </w:r>
          </w:p>
          <w:p>
            <w:pPr>
              <w:spacing w:after="80"/>
            </w:pPr>
            <w:r>
              <w:rPr>
                <w:sz w:val="18"/>
              </w:rPr>
              <w:t>В новой работе Emma Peters, Daniel Erlacher и Clarita Bonamino (2026) исходная 38-пунктовая версия была переработана на основании психометрического анализа и обратной связи участников. Результатом стала финальная 36-пунктовая версия Lucid Dream Control Questionnaire (LDCQ), сохраняющая семь доменов контроля и вводящая отдельные показатели Dream Control и Dream Engagement.</w:t>
            </w:r>
          </w:p>
          <w:p>
            <w:pPr>
              <w:spacing w:after="100"/>
            </w:pPr>
            <w:r>
              <w:rPr>
                <w:sz w:val="18"/>
              </w:rPr>
              <w:t>Поэтому данный документ содержит более раннюю 38-пунктовую LDC-G и не является переводом финальной 36-пунктовой LDCQ. Русская версия не проходила официальную языковую и психометрическую валидацию; для научного применения требуется отдельная процедура адаптации.</w:t>
            </w:r>
          </w:p>
          <w:p>
            <w:pPr>
              <w:spacing w:after="40"/>
            </w:pPr>
            <w:r>
              <w:rPr>
                <w:b/>
                <w:sz w:val="19"/>
              </w:rPr>
              <w:t>Исследования и оригиналы:</w:t>
            </w:r>
          </w:p>
          <w:p>
            <w:pPr>
              <w:spacing w:after="40"/>
              <w:ind w:left="200"/>
            </w:pPr>
            <w:r>
              <w:rPr>
                <w:sz w:val="17"/>
              </w:rPr>
              <w:t xml:space="preserve">1. Peters E., Erlacher D., Bonamino C. </w:t>
            </w:r>
            <w:r>
              <w:rPr>
                <w:i/>
                <w:sz w:val="17"/>
              </w:rPr>
              <w:t>Lucid Dream Control Questionnaire (LDCQ): Development and Validation</w:t>
            </w:r>
            <w:r>
              <w:rPr>
                <w:sz w:val="17"/>
              </w:rPr>
              <w:t xml:space="preserve">. 2026. DOI: </w:t>
            </w:r>
            <w:hyperlink r:id="rId10">
              <w:r>
                <w:rPr>
                  <w:color w:val="0563C1"/>
                  <w:u w:val="single"/>
                </w:rPr>
                <w:t>10.31234/osf.io/p7su6_v1</w:t>
              </w:r>
            </w:hyperlink>
          </w:p>
          <w:p>
            <w:pPr>
              <w:spacing w:after="0"/>
              <w:ind w:left="200"/>
            </w:pPr>
            <w:r>
              <w:rPr>
                <w:sz w:val="17"/>
              </w:rPr>
              <w:t xml:space="preserve">2. Bonamino C., Peters E. </w:t>
            </w:r>
            <w:r>
              <w:rPr>
                <w:i/>
                <w:sz w:val="17"/>
              </w:rPr>
              <w:t>Lucid Dream Control: Mechanisms, Challenges, and Future Directions</w:t>
            </w:r>
            <w:r>
              <w:rPr>
                <w:sz w:val="17"/>
              </w:rPr>
              <w:t xml:space="preserve">. DOI: </w:t>
            </w:r>
            <w:hyperlink r:id="rId11">
              <w:r>
                <w:rPr>
                  <w:color w:val="0563C1"/>
                  <w:u w:val="single"/>
                </w:rPr>
                <w:t>10.31219/osf.io/mte5x_v1</w:t>
              </w:r>
            </w:hyperlink>
          </w:p>
        </w:tc>
      </w:tr>
    </w:tbl>
    <w:sectPr w:rsidR="00FC693F" w:rsidRPr="0006063C" w:rsidSect="00034616">
      <w:footerReference w:type="default" r:id="rId9"/>
      <w:pgSz w:w="11906" w:h="16838"/>
      <w:pgMar w:top="907" w:right="964" w:bottom="90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LDC-G — рабочая русская версия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rPr>
      <w:rFonts w:ascii="Arial" w:hAnsi="Arial" w:eastAsia="Arial"/>
      <w:i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doi.org/10.31234/osf.io/p7su6_v1" TargetMode="External"/><Relationship Id="rId11" Type="http://schemas.openxmlformats.org/officeDocument/2006/relationships/hyperlink" Target="https://doi.org/10.31219/osf.io/mte5x_v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контроля осознанных сновидений LDC-G — рабочая русская версия</dc:title>
  <dc:subject>Оценка контроля в осознанных сновидениях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